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339C0" w:rsidR="00D339C0" w:rsidP="00D339C0" w:rsidRDefault="00D339C0" w14:paraId="0265B1BA" w14:textId="77777777">
      <w:pPr>
        <w:rPr>
          <w:b/>
          <w:bCs/>
        </w:rPr>
      </w:pPr>
      <w:r w:rsidRPr="00D339C0">
        <w:rPr>
          <w:b/>
          <w:bCs/>
        </w:rPr>
        <w:t>Realizacja mobilności kraje partnerskie i kraje programu</w:t>
      </w:r>
    </w:p>
    <w:p w:rsidRPr="00D339C0" w:rsidR="00D339C0" w:rsidP="00D339C0" w:rsidRDefault="00D339C0" w14:paraId="125FE166" w14:textId="77777777">
      <w:pPr>
        <w:rPr>
          <w:b/>
          <w:bCs/>
        </w:rPr>
      </w:pPr>
      <w:r w:rsidRPr="00D339C0">
        <w:rPr>
          <w:b/>
          <w:bCs/>
        </w:rPr>
        <w:t>Procedura wyjazdowa 2024/2025</w:t>
      </w:r>
    </w:p>
    <w:p w:rsidRPr="00D339C0" w:rsidR="00D339C0" w:rsidP="00D339C0" w:rsidRDefault="00D339C0" w14:paraId="0356BBB6" w14:textId="77777777">
      <w:pPr>
        <w:rPr>
          <w:b/>
          <w:bCs/>
        </w:rPr>
      </w:pPr>
      <w:r w:rsidRPr="00D339C0">
        <w:rPr>
          <w:b/>
          <w:bCs/>
        </w:rPr>
        <w:t>Przed wyjazdem</w:t>
      </w:r>
    </w:p>
    <w:p w:rsidRPr="00D339C0" w:rsidR="00D339C0" w:rsidP="00D339C0" w:rsidRDefault="00D339C0" w14:paraId="316BDB55" w14:textId="46E271A6">
      <w:r w:rsidR="00D339C0">
        <w:rPr/>
        <w:t xml:space="preserve">Najpóźniej dwa tygodnie przed planowanym wyjazdem zakwalifikowany pracownik </w:t>
      </w:r>
      <w:r w:rsidR="00D339C0">
        <w:rPr/>
        <w:t>ANSBB</w:t>
      </w:r>
      <w:r w:rsidR="00D339C0">
        <w:rPr/>
        <w:t xml:space="preserve"> zobowiązany jest dostarczyć do </w:t>
      </w:r>
      <w:r w:rsidR="77AC5706">
        <w:rPr/>
        <w:t>International Office</w:t>
      </w:r>
      <w:r w:rsidR="00D339C0">
        <w:rPr/>
        <w:t>:</w:t>
      </w:r>
    </w:p>
    <w:p w:rsidRPr="00D339C0" w:rsidR="00D339C0" w:rsidP="00D339C0" w:rsidRDefault="00D339C0" w14:paraId="11CA17C9" w14:textId="77777777">
      <w:pPr>
        <w:numPr>
          <w:ilvl w:val="0"/>
          <w:numId w:val="1"/>
        </w:numPr>
      </w:pPr>
      <w:r w:rsidRPr="00D339C0">
        <w:t>wniosek o skierowanie na wyjazd zagraniczny podpisany przez kierownika właściwej jednostki,</w:t>
      </w:r>
    </w:p>
    <w:p w:rsidRPr="00D339C0" w:rsidR="00D339C0" w:rsidP="00D339C0" w:rsidRDefault="00D339C0" w14:paraId="10FF2D93" w14:textId="77777777">
      <w:pPr>
        <w:numPr>
          <w:ilvl w:val="0"/>
          <w:numId w:val="1"/>
        </w:numPr>
        <w:rPr/>
      </w:pPr>
      <w:r w:rsidR="00D339C0">
        <w:rPr/>
        <w:t xml:space="preserve">deklaracja </w:t>
      </w:r>
      <w:r w:rsidRPr="54D01B16" w:rsidR="00D339C0">
        <w:rPr>
          <w:i w:val="1"/>
          <w:iCs w:val="1"/>
        </w:rPr>
        <w:t>green</w:t>
      </w:r>
      <w:r w:rsidRPr="54D01B16" w:rsidR="00D339C0">
        <w:rPr>
          <w:i w:val="1"/>
          <w:iCs w:val="1"/>
        </w:rPr>
        <w:t xml:space="preserve"> </w:t>
      </w:r>
      <w:r w:rsidRPr="54D01B16" w:rsidR="00D339C0">
        <w:rPr>
          <w:i w:val="1"/>
          <w:iCs w:val="1"/>
        </w:rPr>
        <w:t>travel</w:t>
      </w:r>
      <w:r w:rsidR="00D339C0">
        <w:rPr/>
        <w:t xml:space="preserve"> wg wzoru (o ile dotyczy),</w:t>
      </w:r>
    </w:p>
    <w:p w:rsidRPr="00D339C0" w:rsidR="00D339C0" w:rsidP="00D339C0" w:rsidRDefault="00D339C0" w14:paraId="288412AE" w14:textId="77777777">
      <w:pPr>
        <w:numPr>
          <w:ilvl w:val="0"/>
          <w:numId w:val="1"/>
        </w:numPr>
      </w:pPr>
      <w:r w:rsidRPr="00D339C0">
        <w:t>kopię polisy ubezpieczeniowej (minimalne wymagania: koszty leczenia, NNW, OC),</w:t>
      </w:r>
    </w:p>
    <w:p w:rsidRPr="00D339C0" w:rsidR="00D339C0" w:rsidP="00D339C0" w:rsidRDefault="00D339C0" w14:paraId="6DCD727A" w14:textId="77777777">
      <w:pPr>
        <w:numPr>
          <w:ilvl w:val="0"/>
          <w:numId w:val="1"/>
        </w:numPr>
      </w:pPr>
      <w:r w:rsidRPr="00D339C0">
        <w:t>dane rachunku bankowego prowadzonego w walucie EUR (nazwa banku, SWIFT, IBAN).</w:t>
      </w:r>
    </w:p>
    <w:p w:rsidRPr="00D339C0" w:rsidR="00D339C0" w:rsidP="00D339C0" w:rsidRDefault="00D339C0" w14:paraId="7DADA748" w14:textId="77777777">
      <w:r w:rsidRPr="00D339C0">
        <w:t>Wszelkie kwestie związane z planowaniem i organizacją podróży, np. ustalenie planu zajęć w uczelni przyjmującej, zakup biletu, rezerwacje hotelowe, leżą w gestii samego Beneficjenta.</w:t>
      </w:r>
    </w:p>
    <w:p w:rsidRPr="00D339C0" w:rsidR="00D339C0" w:rsidP="00D339C0" w:rsidRDefault="00D339C0" w14:paraId="09F763D4" w14:textId="77777777">
      <w:r w:rsidRPr="00D339C0">
        <w:t>Wypłata stypendium następuje po podpisaniu przez obie strony umowy finansowej przelewem na konto (w przypadku posiadania przez beneficjenta konta prowadzonego w walucie EUR)  lub ewentualnie we wskazanym przez uczelnię banku.</w:t>
      </w:r>
    </w:p>
    <w:p w:rsidRPr="00D339C0" w:rsidR="00D339C0" w:rsidP="00D339C0" w:rsidRDefault="00D339C0" w14:paraId="72BD7A6E" w14:textId="7257B192">
      <w:r w:rsidRPr="00D339C0">
        <w:t xml:space="preserve">Pracownik zagranicznego przedsiębiorstwa otrzymuje stypendium po przyjeździe na </w:t>
      </w:r>
      <w:r>
        <w:t>ANSBB</w:t>
      </w:r>
      <w:r w:rsidRPr="00D339C0">
        <w:t>.</w:t>
      </w:r>
    </w:p>
    <w:p w:rsidRPr="00D339C0" w:rsidR="00D339C0" w:rsidP="00D339C0" w:rsidRDefault="00D339C0" w14:paraId="6A0EB390" w14:textId="77777777">
      <w:r w:rsidRPr="00D339C0">
        <w:t>Zaleca się, aby Beneficjent zarejestrował się w serwisie Odyseusz prowadzonym przez Ministerstwo Spraw Zagranicznych.</w:t>
      </w:r>
    </w:p>
    <w:p w:rsidRPr="00D339C0" w:rsidR="00D339C0" w:rsidP="00D339C0" w:rsidRDefault="00D339C0" w14:paraId="510B80D7" w14:textId="77777777">
      <w:pPr>
        <w:rPr>
          <w:b/>
          <w:bCs/>
        </w:rPr>
      </w:pPr>
      <w:r w:rsidRPr="00D339C0">
        <w:rPr>
          <w:b/>
          <w:bCs/>
        </w:rPr>
        <w:t>Po powrocie</w:t>
      </w:r>
    </w:p>
    <w:p w:rsidRPr="00D339C0" w:rsidR="00D339C0" w:rsidP="00D339C0" w:rsidRDefault="00D339C0" w14:paraId="415A96AA" w14:textId="77777777">
      <w:r w:rsidRPr="00D339C0">
        <w:t>W ciągu 7 dni roboczych beneficjent ma obowiązek dostarczyć do Biura Współpracy Międzynarodowej potwierdzenie wystawione przez instytucję przyjmującą zawierające:</w:t>
      </w:r>
    </w:p>
    <w:p w:rsidRPr="00D339C0" w:rsidR="00D339C0" w:rsidP="00D339C0" w:rsidRDefault="00D339C0" w14:paraId="4B52DA70" w14:textId="77777777">
      <w:pPr>
        <w:numPr>
          <w:ilvl w:val="0"/>
          <w:numId w:val="2"/>
        </w:numPr>
      </w:pPr>
      <w:r w:rsidRPr="00D339C0">
        <w:t>dokładne daty pobytu oraz liczbę zrealizowanych godzin dydaktycznych - w przypadku wyjazdu dydaktycznego;</w:t>
      </w:r>
    </w:p>
    <w:p w:rsidRPr="00D339C0" w:rsidR="00D339C0" w:rsidP="00D339C0" w:rsidRDefault="00D339C0" w14:paraId="4492DCFE" w14:textId="77777777">
      <w:pPr>
        <w:numPr>
          <w:ilvl w:val="0"/>
          <w:numId w:val="2"/>
        </w:numPr>
      </w:pPr>
      <w:r w:rsidRPr="00D339C0">
        <w:t>dokładne daty pobytu, liczbę zrealizowanych godzin dydaktycznych  oraz informację o programie szkolenia - w przypadku wyjazdu dydaktyczno-szkoleniowego;</w:t>
      </w:r>
    </w:p>
    <w:p w:rsidRPr="00D339C0" w:rsidR="00D339C0" w:rsidP="00D339C0" w:rsidRDefault="00D339C0" w14:paraId="5134E21A" w14:textId="77777777">
      <w:pPr>
        <w:numPr>
          <w:ilvl w:val="0"/>
          <w:numId w:val="2"/>
        </w:numPr>
      </w:pPr>
      <w:r w:rsidRPr="00D339C0">
        <w:t>dokładne daty pobytu oraz informację o programie szkolenia - w przypadku wyjazdu szkoleniowego;</w:t>
      </w:r>
    </w:p>
    <w:p w:rsidRPr="00D339C0" w:rsidR="00D339C0" w:rsidP="00D339C0" w:rsidRDefault="00D339C0" w14:paraId="74D2D383" w14:textId="77777777">
      <w:pPr>
        <w:numPr>
          <w:ilvl w:val="0"/>
          <w:numId w:val="2"/>
        </w:numPr>
        <w:rPr/>
      </w:pPr>
      <w:r w:rsidR="00D339C0">
        <w:rPr/>
        <w:t xml:space="preserve">oświadczenie </w:t>
      </w:r>
      <w:r w:rsidRPr="54D01B16" w:rsidR="00D339C0">
        <w:rPr>
          <w:i w:val="1"/>
          <w:iCs w:val="1"/>
        </w:rPr>
        <w:t>green</w:t>
      </w:r>
      <w:r w:rsidRPr="54D01B16" w:rsidR="00D339C0">
        <w:rPr>
          <w:i w:val="1"/>
          <w:iCs w:val="1"/>
        </w:rPr>
        <w:t xml:space="preserve"> </w:t>
      </w:r>
      <w:r w:rsidRPr="54D01B16" w:rsidR="00D339C0">
        <w:rPr>
          <w:i w:val="1"/>
          <w:iCs w:val="1"/>
        </w:rPr>
        <w:t>travel</w:t>
      </w:r>
      <w:r w:rsidR="00D339C0">
        <w:rPr/>
        <w:t xml:space="preserve"> wg wzoru (o ile dotyczy);</w:t>
      </w:r>
    </w:p>
    <w:p w:rsidRPr="00D339C0" w:rsidR="00D339C0" w:rsidP="00D339C0" w:rsidRDefault="00D339C0" w14:paraId="57094126" w14:textId="77777777">
      <w:pPr>
        <w:numPr>
          <w:ilvl w:val="0"/>
          <w:numId w:val="2"/>
        </w:numPr>
      </w:pPr>
      <w:r w:rsidRPr="00D339C0">
        <w:t>bilety kolejowe/autobusowe/karty pokładowe;</w:t>
      </w:r>
    </w:p>
    <w:p w:rsidRPr="00D339C0" w:rsidR="00D339C0" w:rsidP="00D339C0" w:rsidRDefault="00D339C0" w14:paraId="191532B0" w14:textId="77777777">
      <w:pPr>
        <w:numPr>
          <w:ilvl w:val="0"/>
          <w:numId w:val="2"/>
        </w:numPr>
      </w:pPr>
      <w:r w:rsidRPr="00D339C0">
        <w:t>beneficjent zobowiązany jest do wypełnienia raportu on-line po zakończeniu mobilności, w terminie 30 dni od dnia otrzymania wezwania do jego złożenia;</w:t>
      </w:r>
    </w:p>
    <w:p w:rsidRPr="00D339C0" w:rsidR="00D339C0" w:rsidP="00D339C0" w:rsidRDefault="00D339C0" w14:paraId="5D464248" w14:textId="0FBDB43C">
      <w:pPr>
        <w:numPr>
          <w:ilvl w:val="0"/>
          <w:numId w:val="2"/>
        </w:numPr>
      </w:pPr>
      <w:r w:rsidRPr="00D339C0">
        <w:t xml:space="preserve">beneficjent zobowiązany jest do przesłania na adres: </w:t>
      </w:r>
      <w:r>
        <w:t xml:space="preserve">osoby do kontaktu wskazanej na stronie instytucji wysyłającej, </w:t>
      </w:r>
      <w:r w:rsidRPr="00D339C0">
        <w:t>relacji z wyjazdu (10 zdań) plus 3 zdjęcia;</w:t>
      </w:r>
    </w:p>
    <w:p w:rsidRPr="00D339C0" w:rsidR="00D339C0" w:rsidP="00D339C0" w:rsidRDefault="00D339C0" w14:paraId="6B69B4C5" w14:textId="77777777">
      <w:r w:rsidRPr="00D339C0">
        <w:t>Pełne rozliczenie przyznanego stypendium warunkowane jest złożeniem w terminie wymaganych dokumentów oraz wypełnieniem raportu online.</w:t>
      </w:r>
    </w:p>
    <w:p w:rsidRPr="00D339C0" w:rsidR="00D339C0" w:rsidP="00D339C0" w:rsidRDefault="00D339C0" w14:paraId="5148E9FE" w14:textId="77777777">
      <w:r w:rsidRPr="00D339C0">
        <w:rPr>
          <w:b/>
          <w:bCs/>
        </w:rPr>
        <w:lastRenderedPageBreak/>
        <w:t>UWAGA:</w:t>
      </w:r>
      <w:r w:rsidRPr="00D339C0">
        <w:t> Wyjazdy typu Green Travel nie dotyczą wyjazdów w ramach KA171 - mobilność z krajami partnerskimi.</w:t>
      </w:r>
    </w:p>
    <w:p w:rsidR="00FA463A" w:rsidRDefault="00FA463A" w14:paraId="3C01088F" w14:textId="77777777"/>
    <w:sectPr w:rsidR="00FA463A" w:rsidSect="00DE73D9">
      <w:type w:val="continuous"/>
      <w:pgSz w:w="11907" w:h="16840" w:orient="portrait" w:code="9"/>
      <w:pgMar w:top="568" w:right="851" w:bottom="851" w:left="426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93D72"/>
    <w:multiLevelType w:val="multilevel"/>
    <w:tmpl w:val="F5A8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85168D8"/>
    <w:multiLevelType w:val="multilevel"/>
    <w:tmpl w:val="C7A8F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852254030">
    <w:abstractNumId w:val="0"/>
  </w:num>
  <w:num w:numId="2" w16cid:durableId="1055927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77"/>
    <w:rsid w:val="003E2EC1"/>
    <w:rsid w:val="003F19B1"/>
    <w:rsid w:val="00646F55"/>
    <w:rsid w:val="007D45E1"/>
    <w:rsid w:val="00A828E2"/>
    <w:rsid w:val="00B26477"/>
    <w:rsid w:val="00D339C0"/>
    <w:rsid w:val="00DE73D9"/>
    <w:rsid w:val="00F65C00"/>
    <w:rsid w:val="00FA463A"/>
    <w:rsid w:val="54D01B16"/>
    <w:rsid w:val="70822E47"/>
    <w:rsid w:val="77AC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8316"/>
  <w15:chartTrackingRefBased/>
  <w15:docId w15:val="{5DF23028-5984-4467-B9F8-A7953B74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647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647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64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64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64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64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64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64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64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B2647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B2647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B2647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B26477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B26477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B26477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B26477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B26477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B264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647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B2647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64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B264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6477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B264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64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647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647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B2647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64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Jacek Binda</dc:creator>
  <keywords/>
  <dc:description/>
  <lastModifiedBy>Aleksander Sapiński</lastModifiedBy>
  <revision>3</revision>
  <dcterms:created xsi:type="dcterms:W3CDTF">2024-10-15T09:02:00.0000000Z</dcterms:created>
  <dcterms:modified xsi:type="dcterms:W3CDTF">2024-10-15T12:33:38.1473432Z</dcterms:modified>
</coreProperties>
</file>